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B41AC" w:rsidRDefault="006B41AC">
      <w:pPr>
        <w:jc w:val="both"/>
        <w:rPr>
          <w:b/>
          <w:bCs/>
          <w:sz w:val="28"/>
          <w:szCs w:val="28"/>
        </w:rPr>
      </w:pPr>
    </w:p>
    <w:p w:rsidR="006B41AC" w:rsidRDefault="006B41AC">
      <w:pPr>
        <w:jc w:val="both"/>
        <w:rPr>
          <w:b/>
          <w:bCs/>
          <w:sz w:val="28"/>
          <w:szCs w:val="28"/>
        </w:rPr>
      </w:pPr>
    </w:p>
    <w:p w:rsidR="006B41AC" w:rsidRDefault="006B41AC">
      <w:pPr>
        <w:jc w:val="both"/>
        <w:rPr>
          <w:b/>
          <w:bCs/>
          <w:sz w:val="28"/>
          <w:szCs w:val="28"/>
        </w:rPr>
      </w:pPr>
    </w:p>
    <w:p w:rsidR="006B41AC" w:rsidRDefault="006B41AC">
      <w:pPr>
        <w:jc w:val="both"/>
        <w:rPr>
          <w:b/>
          <w:bCs/>
          <w:sz w:val="28"/>
          <w:szCs w:val="28"/>
        </w:rPr>
      </w:pPr>
    </w:p>
    <w:p w:rsidR="006B41AC" w:rsidRDefault="006B41AC">
      <w:pPr>
        <w:jc w:val="both"/>
        <w:rPr>
          <w:b/>
          <w:bCs/>
          <w:sz w:val="28"/>
          <w:szCs w:val="28"/>
        </w:rPr>
      </w:pPr>
    </w:p>
    <w:p w:rsidR="006B41AC" w:rsidRDefault="006B41AC">
      <w:pPr>
        <w:jc w:val="both"/>
        <w:rPr>
          <w:b/>
          <w:bCs/>
          <w:sz w:val="28"/>
          <w:szCs w:val="28"/>
        </w:rPr>
      </w:pPr>
    </w:p>
    <w:p w:rsidR="006B41AC" w:rsidRDefault="006B41AC">
      <w:pPr>
        <w:jc w:val="both"/>
        <w:rPr>
          <w:b/>
          <w:bCs/>
          <w:sz w:val="28"/>
          <w:szCs w:val="28"/>
        </w:rPr>
      </w:pPr>
    </w:p>
    <w:p w:rsidR="006B41AC" w:rsidRDefault="006B41AC">
      <w:pPr>
        <w:jc w:val="both"/>
        <w:rPr>
          <w:b/>
          <w:bCs/>
          <w:sz w:val="28"/>
          <w:szCs w:val="28"/>
        </w:rPr>
      </w:pPr>
    </w:p>
    <w:p w:rsidR="006B41AC" w:rsidRDefault="006B41AC">
      <w:pPr>
        <w:jc w:val="both"/>
        <w:rPr>
          <w:b/>
          <w:bCs/>
          <w:sz w:val="28"/>
          <w:szCs w:val="28"/>
        </w:rPr>
      </w:pPr>
    </w:p>
    <w:p w:rsidR="006B41AC" w:rsidRDefault="006B41AC">
      <w:pPr>
        <w:jc w:val="both"/>
        <w:rPr>
          <w:b/>
          <w:bCs/>
          <w:sz w:val="28"/>
          <w:szCs w:val="28"/>
        </w:rPr>
      </w:pPr>
    </w:p>
    <w:p w:rsidR="006B41AC" w:rsidRDefault="006B41AC">
      <w:pPr>
        <w:jc w:val="both"/>
        <w:rPr>
          <w:b/>
          <w:bCs/>
          <w:sz w:val="28"/>
          <w:szCs w:val="28"/>
        </w:rPr>
      </w:pPr>
    </w:p>
    <w:p w:rsidR="006B41AC" w:rsidRDefault="006B41AC">
      <w:pPr>
        <w:jc w:val="both"/>
        <w:rPr>
          <w:b/>
          <w:bCs/>
          <w:sz w:val="28"/>
          <w:szCs w:val="28"/>
        </w:rPr>
      </w:pPr>
    </w:p>
    <w:p w:rsidR="006B41AC" w:rsidRDefault="006B41AC">
      <w:pPr>
        <w:jc w:val="center"/>
        <w:rPr>
          <w:b/>
          <w:bCs/>
          <w:sz w:val="28"/>
          <w:szCs w:val="28"/>
        </w:rPr>
      </w:pPr>
    </w:p>
    <w:p w:rsidR="006B41AC" w:rsidRDefault="006B41AC">
      <w:pPr>
        <w:jc w:val="center"/>
        <w:rPr>
          <w:b/>
          <w:bCs/>
          <w:sz w:val="28"/>
          <w:szCs w:val="28"/>
        </w:rPr>
      </w:pPr>
    </w:p>
    <w:p w:rsidR="006B41AC" w:rsidRDefault="0023172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Инструкция по установке и началу работы с ПО </w:t>
      </w:r>
    </w:p>
    <w:p w:rsidR="006B41AC" w:rsidRDefault="00231720" w:rsidP="00231720">
      <w:pPr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>«</w:t>
      </w:r>
      <w:r w:rsidRPr="00231720">
        <w:rPr>
          <w:b/>
          <w:bCs/>
          <w:sz w:val="28"/>
          <w:szCs w:val="28"/>
        </w:rPr>
        <w:t>Внутреннее программное обеспечение (встроенное прикладное системное) радиостанций Аргут А-77 RU.ЦТРВ.501908-01, работающих в цифровом стандарте DMR ETSI-TS 102 361-1,2</w:t>
      </w:r>
      <w:r>
        <w:rPr>
          <w:b/>
          <w:bCs/>
          <w:sz w:val="28"/>
          <w:szCs w:val="28"/>
        </w:rPr>
        <w:t>»</w:t>
      </w:r>
    </w:p>
    <w:p w:rsidR="006B41AC" w:rsidRDefault="006B41AC">
      <w:pPr>
        <w:jc w:val="center"/>
        <w:rPr>
          <w:b/>
          <w:bCs/>
          <w:sz w:val="28"/>
          <w:szCs w:val="28"/>
        </w:rPr>
      </w:pPr>
    </w:p>
    <w:p w:rsidR="006B41AC" w:rsidRDefault="006B41AC">
      <w:pPr>
        <w:jc w:val="both"/>
        <w:rPr>
          <w:b/>
          <w:bCs/>
          <w:sz w:val="24"/>
          <w:szCs w:val="24"/>
        </w:rPr>
      </w:pPr>
    </w:p>
    <w:p w:rsidR="006B41AC" w:rsidRDefault="00231720">
      <w:pPr>
        <w:jc w:val="both"/>
        <w:rPr>
          <w:b/>
          <w:bCs/>
          <w:sz w:val="28"/>
          <w:szCs w:val="28"/>
        </w:rPr>
      </w:pPr>
      <w:r>
        <w:br w:type="page"/>
      </w:r>
    </w:p>
    <w:p w:rsidR="006B41AC" w:rsidRDefault="00231720">
      <w:pPr>
        <w:jc w:val="both"/>
        <w:rPr>
          <w:sz w:val="24"/>
          <w:szCs w:val="24"/>
        </w:rPr>
      </w:pPr>
      <w:r>
        <w:rPr>
          <w:b/>
          <w:bCs/>
          <w:sz w:val="28"/>
          <w:szCs w:val="28"/>
        </w:rPr>
        <w:lastRenderedPageBreak/>
        <w:t>Содержание</w:t>
      </w:r>
    </w:p>
    <w:sdt>
      <w:sdtPr>
        <w:id w:val="-1520454920"/>
        <w:docPartObj>
          <w:docPartGallery w:val="Table of Contents"/>
          <w:docPartUnique/>
        </w:docPartObj>
      </w:sdtPr>
      <w:sdtEndPr/>
      <w:sdtContent>
        <w:p w:rsidR="006B41AC" w:rsidRDefault="00231720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bCs/>
              <w:color w:val="000000"/>
            </w:rPr>
          </w:pPr>
          <w:r>
            <w:fldChar w:fldCharType="begin"/>
          </w:r>
          <w:r>
            <w:instrText xml:space="preserve"> TOC \h \u \z \t "Heading 1,1,Heading 2,2,Heading 3,3,Heading 4,4,Heading 5,5,Heading 6,6,"</w:instrText>
          </w:r>
          <w:r>
            <w:fldChar w:fldCharType="separate"/>
          </w:r>
          <w:hyperlink w:anchor="_heading=h.d9f26zkmy2ag">
            <w:r>
              <w:rPr>
                <w:color w:val="000000"/>
                <w:sz w:val="24"/>
                <w:szCs w:val="24"/>
              </w:rPr>
              <w:t>1. Аннотация</w:t>
            </w:r>
            <w:r>
              <w:rPr>
                <w:color w:val="000000"/>
                <w:sz w:val="24"/>
                <w:szCs w:val="24"/>
              </w:rPr>
              <w:tab/>
              <w:t>3</w:t>
            </w:r>
          </w:hyperlink>
        </w:p>
        <w:p w:rsidR="006B41AC" w:rsidRDefault="00231720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bCs/>
              <w:color w:val="000000"/>
            </w:rPr>
          </w:pPr>
          <w:hyperlink w:anchor="_heading=h.4rgpc9tyz172">
            <w:r>
              <w:rPr>
                <w:color w:val="000000"/>
                <w:sz w:val="24"/>
                <w:szCs w:val="24"/>
              </w:rPr>
              <w:t>2. Системные требования</w:t>
            </w:r>
            <w:r>
              <w:rPr>
                <w:color w:val="000000"/>
                <w:sz w:val="24"/>
                <w:szCs w:val="24"/>
              </w:rPr>
              <w:tab/>
              <w:t>4</w:t>
            </w:r>
          </w:hyperlink>
        </w:p>
        <w:p w:rsidR="006B41AC" w:rsidRDefault="00231720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bCs/>
              <w:color w:val="000000"/>
            </w:rPr>
          </w:pPr>
          <w:hyperlink w:anchor="_heading=h.csuhnlodazq9">
            <w:r>
              <w:rPr>
                <w:color w:val="000000"/>
                <w:sz w:val="24"/>
                <w:szCs w:val="24"/>
              </w:rPr>
              <w:t>3. Процесс установки ПО</w:t>
            </w:r>
            <w:r>
              <w:rPr>
                <w:color w:val="000000"/>
                <w:sz w:val="24"/>
                <w:szCs w:val="24"/>
              </w:rPr>
              <w:tab/>
              <w:t>5</w:t>
            </w:r>
          </w:hyperlink>
        </w:p>
        <w:p w:rsidR="006B41AC" w:rsidRDefault="00231720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bCs/>
              <w:color w:val="000000"/>
            </w:rPr>
          </w:pPr>
          <w:hyperlink w:anchor="_heading=h.lnxbz9">
            <w:r>
              <w:rPr>
                <w:color w:val="000000"/>
                <w:sz w:val="24"/>
                <w:szCs w:val="24"/>
              </w:rPr>
              <w:t>4. Процесс завершения работы ПО</w:t>
            </w:r>
            <w:r>
              <w:rPr>
                <w:color w:val="000000"/>
                <w:sz w:val="24"/>
                <w:szCs w:val="24"/>
              </w:rPr>
              <w:tab/>
              <w:t>6</w:t>
            </w:r>
          </w:hyperlink>
        </w:p>
        <w:p w:rsidR="006B41AC" w:rsidRDefault="00231720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bCs/>
              <w:color w:val="000000"/>
            </w:rPr>
          </w:pPr>
          <w:hyperlink w:anchor="_heading=h.1ci93xb">
            <w:r>
              <w:rPr>
                <w:color w:val="000000"/>
                <w:sz w:val="24"/>
                <w:szCs w:val="24"/>
              </w:rPr>
              <w:t>5. Контакты</w:t>
            </w:r>
            <w:r>
              <w:rPr>
                <w:color w:val="000000"/>
                <w:sz w:val="24"/>
                <w:szCs w:val="24"/>
              </w:rPr>
              <w:tab/>
              <w:t>7</w:t>
            </w:r>
          </w:hyperlink>
          <w:r>
            <w:fldChar w:fldCharType="end"/>
          </w:r>
        </w:p>
      </w:sdtContent>
    </w:sdt>
    <w:p w:rsidR="006B41AC" w:rsidRDefault="006B41AC">
      <w:pPr>
        <w:jc w:val="both"/>
        <w:rPr>
          <w:sz w:val="24"/>
          <w:szCs w:val="24"/>
        </w:rPr>
      </w:pPr>
      <w:bookmarkStart w:id="0" w:name="_heading=h.irj733oxr62" w:colFirst="0" w:colLast="0"/>
      <w:bookmarkEnd w:id="0"/>
    </w:p>
    <w:p w:rsidR="006B41AC" w:rsidRDefault="00231720">
      <w:pPr>
        <w:jc w:val="both"/>
        <w:rPr>
          <w:b/>
          <w:bCs/>
          <w:sz w:val="28"/>
          <w:szCs w:val="28"/>
        </w:rPr>
      </w:pPr>
      <w:r>
        <w:br w:type="page"/>
      </w:r>
    </w:p>
    <w:p w:rsidR="006B41AC" w:rsidRDefault="00231720">
      <w:pPr>
        <w:pStyle w:val="1"/>
      </w:pPr>
      <w:bookmarkStart w:id="1" w:name="_heading=h.d9f26zkmy2ag" w:colFirst="0" w:colLast="0"/>
      <w:bookmarkEnd w:id="1"/>
      <w:r>
        <w:lastRenderedPageBreak/>
        <w:t>1. Аннотация</w:t>
      </w:r>
    </w:p>
    <w:p w:rsidR="006B41AC" w:rsidRDefault="00231720">
      <w:pPr>
        <w:jc w:val="both"/>
        <w:rPr>
          <w:sz w:val="24"/>
          <w:szCs w:val="24"/>
        </w:rPr>
      </w:pPr>
      <w:r>
        <w:rPr>
          <w:sz w:val="24"/>
          <w:szCs w:val="24"/>
        </w:rPr>
        <w:t>Настоящий документ содержит информацию, необходимую для установки ПО «</w:t>
      </w:r>
      <w:r w:rsidRPr="00231720">
        <w:rPr>
          <w:sz w:val="24"/>
          <w:szCs w:val="24"/>
        </w:rPr>
        <w:t>Внутреннее программное обеспечение (встроенное прикладное системное) радиостанций Аргут А-77 RU.ЦТРВ.501908-01, работающих в цифровом стандарте DMR ETSI-TS 102 361-1,2</w:t>
      </w:r>
      <w:r>
        <w:rPr>
          <w:sz w:val="24"/>
          <w:szCs w:val="24"/>
        </w:rPr>
        <w:t>».</w:t>
      </w:r>
    </w:p>
    <w:p w:rsidR="006B41AC" w:rsidRDefault="006B41AC">
      <w:pPr>
        <w:jc w:val="both"/>
        <w:rPr>
          <w:sz w:val="24"/>
          <w:szCs w:val="24"/>
        </w:rPr>
      </w:pPr>
    </w:p>
    <w:p w:rsidR="006B41AC" w:rsidRDefault="006B41AC">
      <w:pPr>
        <w:jc w:val="both"/>
        <w:rPr>
          <w:sz w:val="24"/>
          <w:szCs w:val="24"/>
        </w:rPr>
      </w:pPr>
    </w:p>
    <w:p w:rsidR="006B41AC" w:rsidRDefault="006B41AC">
      <w:pPr>
        <w:jc w:val="both"/>
        <w:rPr>
          <w:b/>
          <w:bCs/>
          <w:sz w:val="24"/>
          <w:szCs w:val="24"/>
        </w:rPr>
      </w:pPr>
    </w:p>
    <w:p w:rsidR="006B41AC" w:rsidRDefault="00231720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000000"/>
          <w:sz w:val="28"/>
          <w:szCs w:val="28"/>
        </w:rPr>
      </w:pPr>
      <w:bookmarkStart w:id="2" w:name="_heading=h.x2w31e2ua5ts" w:colFirst="0" w:colLast="0"/>
      <w:bookmarkEnd w:id="2"/>
      <w:r>
        <w:br w:type="page"/>
      </w:r>
    </w:p>
    <w:p w:rsidR="006B41AC" w:rsidRDefault="00231720">
      <w:pPr>
        <w:pStyle w:val="1"/>
      </w:pPr>
      <w:bookmarkStart w:id="3" w:name="_heading=h.4rgpc9tyz172" w:colFirst="0" w:colLast="0"/>
      <w:bookmarkEnd w:id="3"/>
      <w:r>
        <w:lastRenderedPageBreak/>
        <w:t>2. Системные требования</w:t>
      </w:r>
    </w:p>
    <w:p w:rsidR="006B41AC" w:rsidRDefault="0023172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Минимальные системные требования для установки и эксплуатации ПО следующие: </w:t>
      </w:r>
    </w:p>
    <w:p w:rsidR="006B41AC" w:rsidRDefault="00231720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наличие микропроцессора STM32F405VET6 или его аналога.</w:t>
      </w:r>
    </w:p>
    <w:p w:rsidR="006B41AC" w:rsidRDefault="006B41AC">
      <w:pPr>
        <w:jc w:val="both"/>
        <w:rPr>
          <w:sz w:val="24"/>
          <w:szCs w:val="24"/>
        </w:rPr>
      </w:pPr>
    </w:p>
    <w:p w:rsidR="006B41AC" w:rsidRDefault="0023172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Для корректного работы ПО требуется наличие составных технических изделий (таблица 1). </w:t>
      </w:r>
    </w:p>
    <w:p w:rsidR="006B41AC" w:rsidRDefault="0023172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>
            <wp:extent cx="5429086" cy="894076"/>
            <wp:effectExtent l="0" t="0" r="0" b="0"/>
            <wp:docPr id="1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5090" t="49665" r="11129" b="25795"/>
                    <a:stretch>
                      <a:fillRect/>
                    </a:stretch>
                  </pic:blipFill>
                  <pic:spPr>
                    <a:xfrm>
                      <a:off x="0" y="0"/>
                      <a:ext cx="5429086" cy="89407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B41AC" w:rsidRDefault="00231720">
      <w:pPr>
        <w:jc w:val="center"/>
        <w:rPr>
          <w:sz w:val="24"/>
          <w:szCs w:val="24"/>
        </w:rPr>
      </w:pPr>
      <w:r>
        <w:rPr>
          <w:sz w:val="24"/>
          <w:szCs w:val="24"/>
        </w:rPr>
        <w:t>Таблица 1</w:t>
      </w:r>
    </w:p>
    <w:p w:rsidR="006B41AC" w:rsidRDefault="00231720">
      <w:pPr>
        <w:jc w:val="both"/>
        <w:rPr>
          <w:sz w:val="24"/>
          <w:szCs w:val="24"/>
        </w:rPr>
      </w:pPr>
      <w:r>
        <w:br w:type="page"/>
      </w:r>
    </w:p>
    <w:p w:rsidR="006B41AC" w:rsidRDefault="006B41AC">
      <w:pPr>
        <w:jc w:val="both"/>
        <w:rPr>
          <w:sz w:val="24"/>
          <w:szCs w:val="24"/>
        </w:rPr>
      </w:pPr>
    </w:p>
    <w:p w:rsidR="006B41AC" w:rsidRDefault="00231720">
      <w:pPr>
        <w:pStyle w:val="1"/>
      </w:pPr>
      <w:bookmarkStart w:id="4" w:name="_heading=h.csuhnlodazq9" w:colFirst="0" w:colLast="0"/>
      <w:bookmarkEnd w:id="4"/>
      <w:r>
        <w:t>3. Процесс установки</w:t>
      </w:r>
      <w:r>
        <w:t xml:space="preserve"> ПО</w:t>
      </w:r>
    </w:p>
    <w:p w:rsidR="006B41AC" w:rsidRDefault="00231720">
      <w:pPr>
        <w:jc w:val="both"/>
        <w:rPr>
          <w:sz w:val="24"/>
          <w:szCs w:val="24"/>
        </w:rPr>
      </w:pPr>
      <w:r>
        <w:rPr>
          <w:sz w:val="24"/>
          <w:szCs w:val="24"/>
        </w:rPr>
        <w:t>«</w:t>
      </w:r>
      <w:r w:rsidRPr="00231720">
        <w:rPr>
          <w:sz w:val="24"/>
          <w:szCs w:val="24"/>
        </w:rPr>
        <w:t>Внутреннее программное обеспечение (встроенное прикладное системное) радиостанций Аргут А-77 RU.ЦТРВ.501908-01, работающих в цифровом стандарте DMR ETSI-TS 102 361-1,2</w:t>
      </w:r>
      <w:bookmarkStart w:id="5" w:name="_GoBack"/>
      <w:bookmarkEnd w:id="5"/>
      <w:r>
        <w:rPr>
          <w:sz w:val="24"/>
          <w:szCs w:val="24"/>
        </w:rPr>
        <w:t>» не поставляется в качестве самостоятельного ПО, а является неотъемлемой частью поставляемых технических изделий.</w:t>
      </w:r>
    </w:p>
    <w:p w:rsidR="006B41AC" w:rsidRDefault="006B41AC">
      <w:pPr>
        <w:jc w:val="both"/>
        <w:rPr>
          <w:sz w:val="24"/>
          <w:szCs w:val="24"/>
        </w:rPr>
      </w:pPr>
    </w:p>
    <w:p w:rsidR="006B41AC" w:rsidRDefault="00231720">
      <w:pPr>
        <w:jc w:val="both"/>
        <w:rPr>
          <w:sz w:val="24"/>
          <w:szCs w:val="24"/>
        </w:rPr>
      </w:pPr>
      <w:r>
        <w:rPr>
          <w:sz w:val="24"/>
          <w:szCs w:val="24"/>
        </w:rPr>
        <w:t>Все работы по вводу программы в эксплуатацию, включая ее установку и запуск, осуществляютс</w:t>
      </w:r>
      <w:r>
        <w:rPr>
          <w:sz w:val="24"/>
          <w:szCs w:val="24"/>
        </w:rPr>
        <w:t>я сотрудниками технической поддержки ООО "ЦНТ", что обеспечивает правильную настройку и дальнейшую стабильную работу ПО.</w:t>
      </w:r>
    </w:p>
    <w:p w:rsidR="006B41AC" w:rsidRDefault="006B41AC">
      <w:pPr>
        <w:jc w:val="both"/>
        <w:rPr>
          <w:sz w:val="24"/>
          <w:szCs w:val="24"/>
        </w:rPr>
      </w:pPr>
    </w:p>
    <w:p w:rsidR="006B41AC" w:rsidRDefault="00231720">
      <w:pPr>
        <w:jc w:val="both"/>
        <w:rPr>
          <w:sz w:val="24"/>
          <w:szCs w:val="24"/>
        </w:rPr>
      </w:pPr>
      <w:r>
        <w:rPr>
          <w:sz w:val="24"/>
          <w:szCs w:val="24"/>
        </w:rPr>
        <w:t>Перед началом использования убедитесь, что изделие сконфигурировано в соответствии с предполагаемыми условиями применения. Для программирования и перепрограммирования изделий следует обращаться на предприятие-производитель или к уполномоченному представите</w:t>
      </w:r>
      <w:r>
        <w:rPr>
          <w:sz w:val="24"/>
          <w:szCs w:val="24"/>
        </w:rPr>
        <w:t xml:space="preserve">лю  (в сервисный центр). </w:t>
      </w:r>
    </w:p>
    <w:p w:rsidR="006B41AC" w:rsidRDefault="00231720">
      <w:pPr>
        <w:jc w:val="both"/>
        <w:rPr>
          <w:sz w:val="24"/>
          <w:szCs w:val="24"/>
        </w:rPr>
      </w:pPr>
      <w:r>
        <w:br w:type="page"/>
      </w:r>
    </w:p>
    <w:p w:rsidR="006B41AC" w:rsidRDefault="006B41AC">
      <w:pPr>
        <w:spacing w:line="240" w:lineRule="auto"/>
        <w:jc w:val="both"/>
        <w:rPr>
          <w:sz w:val="24"/>
          <w:szCs w:val="24"/>
        </w:rPr>
      </w:pPr>
    </w:p>
    <w:p w:rsidR="006B41AC" w:rsidRDefault="006B41AC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bookmarkStart w:id="6" w:name="_heading=h.w6f9u8wxh7ob" w:colFirst="0" w:colLast="0"/>
      <w:bookmarkEnd w:id="6"/>
    </w:p>
    <w:p w:rsidR="006B41AC" w:rsidRDefault="00231720">
      <w:pPr>
        <w:pStyle w:val="1"/>
      </w:pPr>
      <w:bookmarkStart w:id="7" w:name="_heading=h.lnxbz9" w:colFirst="0" w:colLast="0"/>
      <w:bookmarkEnd w:id="7"/>
      <w:r>
        <w:t>4. Процесс завершения работы ПО</w:t>
      </w:r>
    </w:p>
    <w:p w:rsidR="006B41AC" w:rsidRDefault="00231720">
      <w:pPr>
        <w:keepNext/>
        <w:keepLines/>
        <w:jc w:val="both"/>
        <w:rPr>
          <w:sz w:val="24"/>
          <w:szCs w:val="24"/>
        </w:rPr>
      </w:pPr>
      <w:bookmarkStart w:id="8" w:name="_heading=h.w629rm2l7xta" w:colFirst="0" w:colLast="0"/>
      <w:bookmarkEnd w:id="8"/>
      <w:r>
        <w:rPr>
          <w:sz w:val="24"/>
          <w:szCs w:val="24"/>
        </w:rPr>
        <w:t>Для корректного завершения работы с программным обеспечением необходимо выполнить последовательную процедуру остановки работы технического изделия.</w:t>
      </w:r>
    </w:p>
    <w:p w:rsidR="006B41AC" w:rsidRDefault="006B41AC">
      <w:pPr>
        <w:keepNext/>
        <w:keepLines/>
        <w:jc w:val="both"/>
        <w:rPr>
          <w:sz w:val="24"/>
          <w:szCs w:val="24"/>
        </w:rPr>
      </w:pPr>
      <w:bookmarkStart w:id="9" w:name="_heading=h.slwhthboqfub" w:colFirst="0" w:colLast="0"/>
      <w:bookmarkEnd w:id="9"/>
    </w:p>
    <w:p w:rsidR="006B41AC" w:rsidRDefault="006B41AC">
      <w:pPr>
        <w:keepNext/>
        <w:keepLines/>
        <w:jc w:val="both"/>
        <w:rPr>
          <w:sz w:val="24"/>
          <w:szCs w:val="24"/>
        </w:rPr>
      </w:pPr>
      <w:bookmarkStart w:id="10" w:name="_heading=h.yqnhqrucz952" w:colFirst="0" w:colLast="0"/>
      <w:bookmarkEnd w:id="10"/>
    </w:p>
    <w:p w:rsidR="006B41AC" w:rsidRDefault="006B41AC">
      <w:pPr>
        <w:keepNext/>
        <w:keepLines/>
        <w:spacing w:line="240" w:lineRule="auto"/>
        <w:jc w:val="both"/>
        <w:rPr>
          <w:sz w:val="24"/>
          <w:szCs w:val="24"/>
        </w:rPr>
      </w:pPr>
      <w:bookmarkStart w:id="11" w:name="_heading=h.z7e38y1l2wu8" w:colFirst="0" w:colLast="0"/>
      <w:bookmarkEnd w:id="11"/>
    </w:p>
    <w:p w:rsidR="006B41AC" w:rsidRDefault="00231720">
      <w:pPr>
        <w:keepNext/>
        <w:keepLines/>
        <w:spacing w:line="240" w:lineRule="auto"/>
        <w:jc w:val="both"/>
        <w:rPr>
          <w:sz w:val="24"/>
          <w:szCs w:val="24"/>
        </w:rPr>
      </w:pPr>
      <w:bookmarkStart w:id="12" w:name="_heading=h.7a5zfks9kxty" w:colFirst="0" w:colLast="0"/>
      <w:bookmarkEnd w:id="12"/>
      <w:r>
        <w:br w:type="page"/>
      </w:r>
    </w:p>
    <w:p w:rsidR="006B41AC" w:rsidRDefault="006B41AC">
      <w:pPr>
        <w:keepNext/>
        <w:keepLines/>
        <w:spacing w:line="240" w:lineRule="auto"/>
        <w:jc w:val="both"/>
        <w:rPr>
          <w:sz w:val="24"/>
          <w:szCs w:val="24"/>
        </w:rPr>
      </w:pPr>
      <w:bookmarkStart w:id="13" w:name="_heading=h.76b3l6pz50qg" w:colFirst="0" w:colLast="0"/>
      <w:bookmarkEnd w:id="13"/>
    </w:p>
    <w:p w:rsidR="006B41AC" w:rsidRDefault="00231720">
      <w:pPr>
        <w:pStyle w:val="1"/>
        <w:rPr>
          <w:highlight w:val="white"/>
        </w:rPr>
      </w:pPr>
      <w:bookmarkStart w:id="14" w:name="_heading=h.1ci93xb" w:colFirst="0" w:colLast="0"/>
      <w:bookmarkEnd w:id="14"/>
      <w:r>
        <w:rPr>
          <w:highlight w:val="white"/>
        </w:rPr>
        <w:t>5. Контакты</w:t>
      </w:r>
    </w:p>
    <w:p w:rsidR="006B41AC" w:rsidRDefault="00231720">
      <w:pPr>
        <w:jc w:val="both"/>
        <w:rPr>
          <w:sz w:val="24"/>
          <w:szCs w:val="24"/>
        </w:rPr>
      </w:pPr>
      <w:r>
        <w:rPr>
          <w:sz w:val="24"/>
          <w:szCs w:val="24"/>
        </w:rPr>
        <w:t>Для контактов с командой раз</w:t>
      </w:r>
      <w:r>
        <w:rPr>
          <w:sz w:val="24"/>
          <w:szCs w:val="24"/>
        </w:rPr>
        <w:t>работчиков просьба обращаться по следующим реквизитам:</w:t>
      </w:r>
    </w:p>
    <w:p w:rsidR="006B41AC" w:rsidRPr="00231720" w:rsidRDefault="00231720">
      <w:pPr>
        <w:shd w:val="clear" w:color="auto" w:fill="FFFFFF"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Тел</w:t>
      </w:r>
      <w:r w:rsidRPr="00231720">
        <w:rPr>
          <w:sz w:val="24"/>
          <w:szCs w:val="24"/>
          <w:lang w:val="en-US"/>
        </w:rPr>
        <w:t>.: 8 (495) 782-44-33</w:t>
      </w:r>
    </w:p>
    <w:p w:rsidR="006B41AC" w:rsidRPr="00231720" w:rsidRDefault="00231720">
      <w:pPr>
        <w:shd w:val="clear" w:color="auto" w:fill="FFFFFF"/>
        <w:jc w:val="both"/>
        <w:rPr>
          <w:sz w:val="24"/>
          <w:szCs w:val="24"/>
          <w:lang w:val="en-US"/>
        </w:rPr>
      </w:pPr>
      <w:r w:rsidRPr="00231720">
        <w:rPr>
          <w:sz w:val="24"/>
          <w:szCs w:val="24"/>
          <w:lang w:val="en-US"/>
        </w:rPr>
        <w:t>E-mail: info@cnt-radio.ru</w:t>
      </w:r>
    </w:p>
    <w:p w:rsidR="006B41AC" w:rsidRPr="00231720" w:rsidRDefault="006B41AC">
      <w:pPr>
        <w:jc w:val="both"/>
        <w:rPr>
          <w:b/>
          <w:bCs/>
          <w:sz w:val="24"/>
          <w:szCs w:val="24"/>
          <w:lang w:val="en-US"/>
        </w:rPr>
      </w:pPr>
    </w:p>
    <w:p w:rsidR="006B41AC" w:rsidRPr="00231720" w:rsidRDefault="006B41AC">
      <w:pPr>
        <w:jc w:val="both"/>
        <w:rPr>
          <w:b/>
          <w:bCs/>
          <w:sz w:val="28"/>
          <w:szCs w:val="28"/>
          <w:lang w:val="en-US"/>
        </w:rPr>
      </w:pPr>
    </w:p>
    <w:p w:rsidR="006B41AC" w:rsidRPr="00231720" w:rsidRDefault="006B41AC">
      <w:pPr>
        <w:jc w:val="both"/>
        <w:rPr>
          <w:b/>
          <w:bCs/>
          <w:sz w:val="28"/>
          <w:szCs w:val="28"/>
          <w:lang w:val="en-US"/>
        </w:rPr>
      </w:pPr>
    </w:p>
    <w:sectPr w:rsidR="006B41AC" w:rsidRPr="00231720">
      <w:footerReference w:type="default" r:id="rId9"/>
      <w:footerReference w:type="first" r:id="rId10"/>
      <w:pgSz w:w="11909" w:h="16834"/>
      <w:pgMar w:top="1440" w:right="1440" w:bottom="993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00000" w:rsidRDefault="00231720">
      <w:pPr>
        <w:spacing w:line="240" w:lineRule="auto"/>
      </w:pPr>
      <w:r>
        <w:separator/>
      </w:r>
    </w:p>
  </w:endnote>
  <w:endnote w:type="continuationSeparator" w:id="0">
    <w:p w:rsidR="00000000" w:rsidRDefault="0023172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  <w:embedRegular r:id="rId1" w:fontKey="{D1002A27-D73D-4488-854E-2AE183682AF2}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2" w:fontKey="{3C1717C9-8444-42BC-8322-E05C6E1B7C4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3" w:fontKey="{2AFBEDFA-6A1E-4A25-82FD-97BE7512F90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6B41AC" w:rsidRDefault="00231720">
    <w:pPr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6B41AC" w:rsidRDefault="006B41A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00000" w:rsidRDefault="00231720">
      <w:pPr>
        <w:spacing w:line="240" w:lineRule="auto"/>
      </w:pPr>
      <w:r>
        <w:separator/>
      </w:r>
    </w:p>
  </w:footnote>
  <w:footnote w:type="continuationSeparator" w:id="0">
    <w:p w:rsidR="00000000" w:rsidRDefault="0023172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D52EF4"/>
    <w:multiLevelType w:val="multilevel"/>
    <w:tmpl w:val="1750DFC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TrueTypeFont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1AC"/>
    <w:rsid w:val="00231720"/>
    <w:rsid w:val="006B4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9D7099-34FD-49FE-9E00-E9EAA4245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5">
    <w:name w:val="header"/>
    <w:link w:val="a6"/>
    <w:uiPriority w:val="99"/>
    <w:unhideWhenUsed/>
    <w:rsid w:val="00C12A02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12A02"/>
  </w:style>
  <w:style w:type="paragraph" w:styleId="a7">
    <w:name w:val="footer"/>
    <w:link w:val="a8"/>
    <w:uiPriority w:val="99"/>
    <w:unhideWhenUsed/>
    <w:rsid w:val="00C12A02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12A02"/>
  </w:style>
  <w:style w:type="character" w:styleId="a9">
    <w:name w:val="Hyperlink"/>
    <w:basedOn w:val="a0"/>
    <w:uiPriority w:val="99"/>
    <w:unhideWhenUsed/>
    <w:rsid w:val="0083545A"/>
    <w:rPr>
      <w:color w:val="0000FF" w:themeColor="hyperlink"/>
      <w:u w:val="single"/>
    </w:rPr>
  </w:style>
  <w:style w:type="paragraph" w:styleId="aa">
    <w:name w:val="List Paragraph"/>
    <w:uiPriority w:val="34"/>
    <w:qFormat/>
    <w:rsid w:val="00ED742C"/>
    <w:pPr>
      <w:ind w:left="720"/>
      <w:contextualSpacing/>
    </w:pPr>
  </w:style>
  <w:style w:type="character" w:styleId="ab">
    <w:name w:val="annotation reference"/>
    <w:uiPriority w:val="99"/>
    <w:semiHidden/>
    <w:unhideWhenUsed/>
    <w:rPr>
      <w:sz w:val="16"/>
      <w:szCs w:val="16"/>
    </w:rPr>
  </w:style>
  <w:style w:type="paragraph" w:styleId="ac">
    <w:name w:val="annotation subject"/>
    <w:basedOn w:val="ad"/>
    <w:next w:val="ad"/>
    <w:link w:val="ae"/>
    <w:uiPriority w:val="99"/>
    <w:semiHidden/>
    <w:unhideWhenUsed/>
    <w:rPr>
      <w:b/>
      <w:bCs/>
    </w:rPr>
  </w:style>
  <w:style w:type="character" w:customStyle="1" w:styleId="ae">
    <w:name w:val="Тема примечания Знак"/>
    <w:basedOn w:val="af"/>
    <w:link w:val="ac"/>
    <w:uiPriority w:val="99"/>
    <w:semiHidden/>
    <w:rPr>
      <w:b/>
      <w:bCs/>
      <w:sz w:val="20"/>
      <w:szCs w:val="20"/>
    </w:rPr>
  </w:style>
  <w:style w:type="paragraph" w:styleId="ad">
    <w:name w:val="annotation text"/>
    <w:link w:val="af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link w:val="ad"/>
    <w:uiPriority w:val="99"/>
    <w:semiHidden/>
    <w:rPr>
      <w:sz w:val="20"/>
      <w:szCs w:val="20"/>
    </w:rPr>
  </w:style>
  <w:style w:type="paragraph" w:styleId="af0">
    <w:name w:val="Balloon Text"/>
    <w:link w:val="af1"/>
    <w:uiPriority w:val="99"/>
    <w:semiHidden/>
    <w:unhideWhenUsed/>
    <w:rsid w:val="00EF631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EF6312"/>
    <w:rPr>
      <w:rFonts w:ascii="Segoe UI" w:hAnsi="Segoe UI" w:cs="Segoe UI"/>
      <w:sz w:val="18"/>
      <w:szCs w:val="18"/>
    </w:rPr>
  </w:style>
  <w:style w:type="table" w:customStyle="1" w:styleId="af2">
    <w:basedOn w:val="TableNormal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6"/>
    <w:tblPr>
      <w:tblStyleRowBandSize w:val="1"/>
      <w:tblStyleColBandSize w:val="1"/>
    </w:tblPr>
  </w:style>
  <w:style w:type="table" w:customStyle="1" w:styleId="af4">
    <w:basedOn w:val="TableNormal6"/>
    <w:tblPr>
      <w:tblStyleRowBandSize w:val="1"/>
      <w:tblStyleColBandSize w:val="1"/>
    </w:tblPr>
  </w:style>
  <w:style w:type="table" w:customStyle="1" w:styleId="af5">
    <w:basedOn w:val="TableNormal6"/>
    <w:tblPr>
      <w:tblStyleRowBandSize w:val="1"/>
      <w:tblStyleColBandSize w:val="1"/>
    </w:tblPr>
  </w:style>
  <w:style w:type="paragraph" w:styleId="af6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oy8m+fDO7IGD1g5Q0I0uQvOviw==">CgMxLjAyDWguaXJqNzMzb3hyNjIyDmguZDlmMjZ6a215MmFnMg5oLngydzMxZTJ1YTV0czIOaC40cmdwYzl0eXoxNzIyDmguY3N1aG5sb2RhenE5Mg5oLnc2Zjl1OHd4aDdvYjIIaC5sbnhiejkyDmgudzYyOXJtMmw3eHRhMg5oLnNsd2h0aGJvcWZ1YjIOaC55cW5ocXJ1Y3o5NTIyDmguejdlMzh5MWwyd3U4Mg5oLjdhNXpma3M5a3h0eTIOaC43NmIzbDZwejUwcWcyCWguMWNpOTN4YjgAciExVlRRcmRacjZ3MU9MaEVvT09wZGpUSGZSZFNITTVPRW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348</Words>
  <Characters>1988</Characters>
  <Application>Microsoft Office Word</Application>
  <DocSecurity>0</DocSecurity>
  <Lines>16</Lines>
  <Paragraphs>4</Paragraphs>
  <ScaleCrop>false</ScaleCrop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CNT_14</cp:lastModifiedBy>
  <cp:revision>2</cp:revision>
  <dcterms:created xsi:type="dcterms:W3CDTF">2024-10-14T13:04:00Z</dcterms:created>
  <dcterms:modified xsi:type="dcterms:W3CDTF">2025-12-08T08:50:00Z</dcterms:modified>
</cp:coreProperties>
</file>